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参赛回执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参赛项目：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tbl>
      <w:tblPr>
        <w:tblStyle w:val="3"/>
        <w:tblpPr w:leftFromText="180" w:rightFromText="180" w:vertAnchor="text" w:horzAnchor="page" w:tblpX="898" w:tblpY="645"/>
        <w:tblOverlap w:val="never"/>
        <w:tblW w:w="15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58"/>
        <w:gridCol w:w="1206"/>
        <w:gridCol w:w="1740"/>
        <w:gridCol w:w="1512"/>
        <w:gridCol w:w="2808"/>
        <w:gridCol w:w="2235"/>
        <w:gridCol w:w="1725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00" w:type="dxa"/>
            <w:gridSpan w:val="2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1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2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192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金丝利喜来登酒店 （350元/人/晚）</w:t>
            </w:r>
          </w:p>
        </w:tc>
        <w:tc>
          <w:tcPr>
            <w:tcW w:w="1375" w:type="dxa"/>
          </w:tcPr>
          <w:p>
            <w:pPr>
              <w:spacing w:line="192" w:lineRule="auto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汉庭（上海路店）（150元/人/晚）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8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8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8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1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B044E"/>
    <w:rsid w:val="0A7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2019-09-20T02:53:00Z</dcterms:created>
  <dc:creator>顾海平</dc:creator>
  <cp:lastModifiedBy>顾海平</cp:lastModifiedBy>
  <dcterms:modified xsi:type="dcterms:W3CDTF">2019-09-20T02:54:46Z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